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44"/>
          <w:szCs w:val="44"/>
        </w:rPr>
        <w:t>广东英德农村商业银行股份有限公司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关于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202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3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年第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三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季度一般关联交易情况的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通告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根据《银行保险机构关联交易管理办法》（中国银行保险监督管理委员会令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</w:rPr>
        <w:t>〔2022〕1号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广东英德农村商业银行股份有限公司关联交易管理办法（2022年版）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相关规定，广东英德农村商业银行股份有限公司（以下简称“本行”）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对第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Arial"/>
          <w:kern w:val="2"/>
          <w:sz w:val="32"/>
          <w:szCs w:val="32"/>
          <w:lang w:val="en-US" w:eastAsia="zh-CN"/>
        </w:rPr>
        <w:t>一般关联交易</w:t>
      </w:r>
      <w:r>
        <w:rPr>
          <w:rFonts w:hint="eastAsia" w:ascii="仿宋_GB2312" w:eastAsia="仿宋_GB2312"/>
          <w:sz w:val="32"/>
          <w:szCs w:val="32"/>
        </w:rPr>
        <w:t>情况进行季度信息披露，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至2023年第三季度末，本行关联交易指标符合监管比例要求。</w:t>
      </w:r>
    </w:p>
    <w:p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2023年第三季度一般关联交易</w:t>
      </w:r>
      <w:r>
        <w:rPr>
          <w:rFonts w:hint="eastAsia" w:ascii="仿宋_GB2312" w:eastAsia="仿宋_GB2312"/>
          <w:sz w:val="32"/>
          <w:szCs w:val="32"/>
        </w:rPr>
        <w:t>具体情况如下：</w:t>
      </w:r>
    </w:p>
    <w:tbl>
      <w:tblPr>
        <w:tblStyle w:val="1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529"/>
        <w:gridCol w:w="1336"/>
        <w:gridCol w:w="1958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5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关联交易类型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交易笔数</w:t>
            </w:r>
          </w:p>
        </w:tc>
        <w:tc>
          <w:tcPr>
            <w:tcW w:w="19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交易金额（万元）</w:t>
            </w:r>
          </w:p>
        </w:tc>
        <w:tc>
          <w:tcPr>
            <w:tcW w:w="195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占上季度末资本净额比例（%）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授信类关联交易</w:t>
            </w:r>
          </w:p>
        </w:tc>
        <w:tc>
          <w:tcPr>
            <w:tcW w:w="133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2100</w:t>
            </w:r>
          </w:p>
        </w:tc>
        <w:tc>
          <w:tcPr>
            <w:tcW w:w="195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资产转移类</w:t>
            </w:r>
            <w:r>
              <w:rPr>
                <w:rFonts w:hint="eastAsia" w:ascii="仿宋_GB2312" w:eastAsia="仿宋_GB2312"/>
                <w:sz w:val="24"/>
                <w:szCs w:val="24"/>
              </w:rPr>
              <w:t>关联交易</w:t>
            </w:r>
          </w:p>
        </w:tc>
        <w:tc>
          <w:tcPr>
            <w:tcW w:w="133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95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95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服务类关联交易</w:t>
            </w:r>
          </w:p>
        </w:tc>
        <w:tc>
          <w:tcPr>
            <w:tcW w:w="133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1690.13</w:t>
            </w:r>
          </w:p>
        </w:tc>
        <w:tc>
          <w:tcPr>
            <w:tcW w:w="195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存款类关联交易</w:t>
            </w:r>
          </w:p>
        </w:tc>
        <w:tc>
          <w:tcPr>
            <w:tcW w:w="1336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95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958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通告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广东英德农村商业银行股份有限公司</w:t>
      </w:r>
    </w:p>
    <w:p>
      <w:pPr>
        <w:adjustRightInd w:val="0"/>
        <w:snapToGrid w:val="0"/>
        <w:spacing w:line="360" w:lineRule="auto"/>
        <w:ind w:right="96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3542EFB"/>
    <w:rsid w:val="2B2357C4"/>
    <w:rsid w:val="55791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uiPriority w:val="0"/>
    <w:pPr>
      <w:ind w:left="1680"/>
    </w:pPr>
  </w:style>
  <w:style w:type="paragraph" w:styleId="6">
    <w:name w:val="toc 3"/>
    <w:basedOn w:val="1"/>
    <w:next w:val="1"/>
    <w:uiPriority w:val="0"/>
    <w:pPr>
      <w:ind w:left="84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iPriority w:val="0"/>
  </w:style>
  <w:style w:type="paragraph" w:styleId="10">
    <w:name w:val="toc 4"/>
    <w:basedOn w:val="1"/>
    <w:next w:val="1"/>
    <w:uiPriority w:val="0"/>
    <w:pPr>
      <w:ind w:left="1260"/>
    </w:pPr>
  </w:style>
  <w:style w:type="paragraph" w:styleId="11">
    <w:name w:val="toc 2"/>
    <w:basedOn w:val="1"/>
    <w:next w:val="1"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312</Words>
  <Characters>347</Characters>
  <Lines>42</Lines>
  <Paragraphs>32</Paragraphs>
  <TotalTime>0</TotalTime>
  <ScaleCrop>false</ScaleCrop>
  <LinksUpToDate>false</LinksUpToDate>
  <CharactersWithSpaces>347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2022-04-27T01:04:00Z</dcterms:created>
  <dc:creator>林婷婷</dc:creator>
  <cp:lastModifiedBy>Administrator</cp:lastModifiedBy>
  <dcterms:modified xsi:type="dcterms:W3CDTF">2023-10-25T00:55:16Z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44B67DFC69E8437D9ABDC12E9000E049</vt:lpwstr>
  </property>
</Properties>
</file>